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 Generated by Aspose.Words for Cloud for .NET 22.1.0 -->
  <w:body>
    <w:p>
      <w:pPr>
        <w:pStyle w:val="Heading1"/>
        <w:keepNext w:val="0"/>
        <w:keepLines w:val="0"/>
        <w:spacing w:before="0" w:after="299"/>
        <w:rPr>
          <w:b/>
          <w:bCs/>
          <w:sz w:val="36"/>
          <w:szCs w:val="36"/>
        </w:rPr>
      </w:pPr>
      <w:r>
        <w:rPr>
          <w:rFonts w:ascii="Times New Roman" w:eastAsia="Times New Roman" w:hAnsi="Times New Roman" w:cs="Times New Roman"/>
          <w:i w:val="0"/>
          <w:color w:val="auto"/>
          <w:sz w:val="36"/>
          <w:szCs w:val="36"/>
        </w:rPr>
        <w:t>Religious Druggery [poem]</w:t>
      </w:r>
    </w:p>
    <w:tbl>
      <w:tblPr>
        <w:tblW w:w="5000" w:type="pct"/>
        <w:tblCellSpacing w:w="15" w:type="dxa"/>
        <w:tblCellMar>
          <w:top w:w="15" w:type="dxa"/>
          <w:left w:w="15" w:type="dxa"/>
          <w:bottom w:w="15" w:type="dxa"/>
          <w:right w:w="15" w:type="dxa"/>
        </w:tblCellMar>
      </w:tblPr>
      <w:tblGrid>
        <w:gridCol w:w="3074"/>
        <w:gridCol w:w="6241"/>
      </w:tblGrid>
      <w:tr>
        <w:tblPrEx>
          <w:tblW w:w="5000" w:type="pct"/>
          <w:tblCellSpacing w:w="15" w:type="dxa"/>
          <w:tblCellMar>
            <w:top w:w="15" w:type="dxa"/>
            <w:left w:w="15" w:type="dxa"/>
            <w:bottom w:w="15" w:type="dxa"/>
            <w:right w:w="15" w:type="dxa"/>
          </w:tblCellMar>
        </w:tblPrEx>
        <w:trPr>
          <w:tblCellSpacing w:w="15" w:type="dxa"/>
        </w:trPr>
        <w:tc>
          <w:tcPr>
            <w:tcW w:w="1650" w:type="pct"/>
            <w:tcMar>
              <w:top w:w="15" w:type="dxa"/>
              <w:left w:w="15" w:type="dxa"/>
              <w:bottom w:w="15" w:type="dxa"/>
              <w:right w:w="15" w:type="dxa"/>
            </w:tcMar>
            <w:vAlign w:val="center"/>
            <w:hideMark/>
          </w:tcPr>
          <w:p>
            <w:r>
              <w:rPr>
                <w:b/>
                <w:bCs/>
              </w:rPr>
              <w:t>Author</w:t>
            </w:r>
          </w:p>
        </w:tc>
        <w:tc>
          <w:tcPr>
            <w:tcMar>
              <w:top w:w="15" w:type="dxa"/>
              <w:left w:w="15" w:type="dxa"/>
              <w:bottom w:w="15" w:type="dxa"/>
              <w:right w:w="15" w:type="dxa"/>
            </w:tcMar>
            <w:vAlign w:val="center"/>
            <w:hideMark/>
          </w:tcPr>
          <w:p>
            <w:r>
              <w:t>Anna</w:t>
            </w:r>
          </w:p>
        </w:tc>
      </w:tr>
      <w:tr>
        <w:tblPrEx>
          <w:tblW w:w="5000" w:type="pct"/>
          <w:tblCellSpacing w:w="15" w:type="dxa"/>
          <w:tblCellMar>
            <w:top w:w="15" w:type="dxa"/>
            <w:left w:w="15" w:type="dxa"/>
            <w:bottom w:w="15" w:type="dxa"/>
            <w:right w:w="15" w:type="dxa"/>
          </w:tblCellMar>
        </w:tblPrEx>
        <w:trPr>
          <w:tblCellSpacing w:w="15" w:type="dxa"/>
        </w:trPr>
        <w:tc>
          <w:tcPr>
            <w:tcW w:w="1650" w:type="pct"/>
            <w:tcMar>
              <w:top w:w="15" w:type="dxa"/>
              <w:left w:w="15" w:type="dxa"/>
              <w:bottom w:w="15" w:type="dxa"/>
              <w:right w:w="15" w:type="dxa"/>
            </w:tcMar>
            <w:vAlign w:val="center"/>
            <w:hideMark/>
          </w:tcPr>
          <w:p>
            <w:r>
              <w:rPr>
                <w:b/>
                <w:bCs/>
              </w:rPr>
              <w:t>Date</w:t>
            </w:r>
          </w:p>
        </w:tc>
        <w:tc>
          <w:tcPr>
            <w:tcMar>
              <w:top w:w="15" w:type="dxa"/>
              <w:left w:w="15" w:type="dxa"/>
              <w:bottom w:w="15" w:type="dxa"/>
              <w:right w:w="15" w:type="dxa"/>
            </w:tcMar>
            <w:vAlign w:val="center"/>
            <w:hideMark/>
          </w:tcPr>
          <w:p>
            <w:r>
              <w:t>2012-10-15 15:27:09</w:t>
            </w:r>
          </w:p>
        </w:tc>
      </w:tr>
      <w:tr>
        <w:tblPrEx>
          <w:tblW w:w="5000" w:type="pct"/>
          <w:tblCellSpacing w:w="15" w:type="dxa"/>
          <w:tblCellMar>
            <w:top w:w="15" w:type="dxa"/>
            <w:left w:w="15" w:type="dxa"/>
            <w:bottom w:w="15" w:type="dxa"/>
            <w:right w:w="15" w:type="dxa"/>
          </w:tblCellMar>
        </w:tblPrEx>
        <w:trPr>
          <w:tblCellSpacing w:w="15" w:type="dxa"/>
        </w:trPr>
        <w:tc>
          <w:tcPr>
            <w:tcW w:w="1650" w:type="pct"/>
            <w:tcMar>
              <w:top w:w="15" w:type="dxa"/>
              <w:left w:w="15" w:type="dxa"/>
              <w:bottom w:w="15" w:type="dxa"/>
              <w:right w:w="15" w:type="dxa"/>
            </w:tcMar>
            <w:vAlign w:val="center"/>
            <w:hideMark/>
          </w:tcPr>
          <w:p>
            <w:r>
              <w:rPr>
                <w:b/>
                <w:bCs/>
              </w:rPr>
              <w:t>Categories</w:t>
            </w:r>
          </w:p>
        </w:tc>
        <w:tc>
          <w:tcPr>
            <w:tcMar>
              <w:top w:w="15" w:type="dxa"/>
              <w:left w:w="15" w:type="dxa"/>
              <w:bottom w:w="15" w:type="dxa"/>
              <w:right w:w="15" w:type="dxa"/>
            </w:tcMar>
            <w:vAlign w:val="center"/>
            <w:hideMark/>
          </w:tcPr>
          <w:p>
            <w:r>
              <w:t xml:space="preserve">Archive Articles Poetry </w:t>
            </w:r>
          </w:p>
        </w:tc>
      </w:tr>
    </w:tbl>
    <w:p>
      <w:r>
        <w:t xml:space="preserve">We have turned the teachings of Jesus into a religion, living words into opium. We have turned a blasphemous prophet into a harmless sacrament that comforts and confirms: we are druggists, who have made Jesus safe. We have taken a table, a love feast spread so that zealot and harlot, leper and lunatic, could be welcomed and fed, and turned it into unearthly symbol of wafer and thimble for the righteous instead. We have taken a cross, clotted rack of brutality (electric chair built to burn heretic and radical) and crafted it into pop fashion accessory. We are publicists and anesthetists who have turned this Jesus into someone respectable: a pillar of the community, a seal of approval. We are druggists and alchemists who have turned his blood into water (thin and insipid and easy to swallow) we have taken the food of the prophets, the poets, the revolutionaries, we have taken living bread, words that burned with holy rage, and turned them into pap for the pious, pills for the nervous, and homilies for the dead. </w:t>
      </w:r>
      <w:r>
        <w:rPr>
          <w:b/>
          <w:bCs/>
          <w:i/>
          <w:iCs/>
        </w:rPr>
        <w:t>[Kristin Jack is the Asia Coordinator of Servants. He and his family lived in Cambodia for 17 years. A book of his poetry, entitled 'Poetry and Prophecy' is available from Servants.]</w:t>
      </w:r>
      <w:r>
        <w:t xml:space="preserve"> </w:t>
      </w:r>
      <w:r>
        <w:rPr>
          <w:b/>
          <w:bCs/>
          <w:i/>
          <w:iCs/>
        </w:rPr>
        <w:t> </w:t>
      </w:r>
      <w:r>
        <w:t xml:space="preserve"> </w:t>
      </w:r>
    </w:p>
    <w:p>
      <w:pPr>
        <w:pStyle w:val="Heading3"/>
        <w:keepNext w:val="0"/>
        <w:keepLines w:val="0"/>
        <w:spacing w:before="281" w:after="281"/>
        <w:rPr>
          <w:b/>
          <w:bCs/>
          <w:sz w:val="28"/>
          <w:szCs w:val="28"/>
        </w:rPr>
      </w:pPr>
      <w:r>
        <w:rPr>
          <w:rFonts w:ascii="Times New Roman" w:eastAsia="Times New Roman" w:hAnsi="Times New Roman" w:cs="Times New Roman"/>
          <w:i w:val="0"/>
          <w:color w:val="auto"/>
        </w:rPr>
        <w:t>Metadata</w:t>
      </w:r>
    </w:p>
    <w:tbl>
      <w:tblPr>
        <w:tblW w:w="5000" w:type="pct"/>
        <w:tblCellSpacing w:w="15" w:type="dxa"/>
        <w:tblCellMar>
          <w:top w:w="15" w:type="dxa"/>
          <w:left w:w="15" w:type="dxa"/>
          <w:bottom w:w="15" w:type="dxa"/>
          <w:right w:w="15" w:type="dxa"/>
        </w:tblCellMar>
      </w:tblPr>
      <w:tblGrid>
        <w:gridCol w:w="3074"/>
        <w:gridCol w:w="6241"/>
      </w:tblGrid>
      <w:tr>
        <w:tblPrEx>
          <w:tblW w:w="5000" w:type="pct"/>
          <w:tblCellSpacing w:w="15" w:type="dxa"/>
          <w:tblCellMar>
            <w:top w:w="15" w:type="dxa"/>
            <w:left w:w="15" w:type="dxa"/>
            <w:bottom w:w="15" w:type="dxa"/>
            <w:right w:w="15" w:type="dxa"/>
          </w:tblCellMar>
        </w:tblPrEx>
        <w:trPr>
          <w:tblCellSpacing w:w="15" w:type="dxa"/>
        </w:trPr>
        <w:tc>
          <w:tcPr>
            <w:tcW w:w="1650" w:type="pct"/>
            <w:tcMar>
              <w:top w:w="15" w:type="dxa"/>
              <w:left w:w="15" w:type="dxa"/>
              <w:bottom w:w="15" w:type="dxa"/>
              <w:right w:w="15" w:type="dxa"/>
            </w:tcMar>
            <w:vAlign w:val="center"/>
            <w:hideMark/>
          </w:tcPr>
          <w:p>
            <w:r>
              <w:rPr>
                <w:b/>
                <w:bCs/>
              </w:rPr>
              <w:t>zn_meta_elements</w:t>
            </w:r>
          </w:p>
        </w:tc>
        <w:tc>
          <w:tcPr>
            <w:tcMar>
              <w:top w:w="15" w:type="dxa"/>
              <w:left w:w="15" w:type="dxa"/>
              <w:bottom w:w="15" w:type="dxa"/>
              <w:right w:w="15" w:type="dxa"/>
            </w:tcMar>
            <w:vAlign w:val="center"/>
            <w:hideMark/>
          </w:tcPr>
          <w:p>
            <w:r>
              <w:t>Array</w:t>
            </w:r>
          </w:p>
        </w:tc>
      </w:tr>
      <w:tr>
        <w:tblPrEx>
          <w:tblW w:w="5000" w:type="pct"/>
          <w:tblCellSpacing w:w="15" w:type="dxa"/>
          <w:tblCellMar>
            <w:top w:w="15" w:type="dxa"/>
            <w:left w:w="15" w:type="dxa"/>
            <w:bottom w:w="15" w:type="dxa"/>
            <w:right w:w="15" w:type="dxa"/>
          </w:tblCellMar>
        </w:tblPrEx>
        <w:trPr>
          <w:tblCellSpacing w:w="15" w:type="dxa"/>
        </w:trPr>
        <w:tc>
          <w:tcPr>
            <w:tcW w:w="1650" w:type="pct"/>
            <w:tcMar>
              <w:top w:w="15" w:type="dxa"/>
              <w:left w:w="15" w:type="dxa"/>
              <w:bottom w:w="15" w:type="dxa"/>
              <w:right w:w="15" w:type="dxa"/>
            </w:tcMar>
            <w:vAlign w:val="center"/>
            <w:hideMark/>
          </w:tcPr>
          <w:p>
            <w:r>
              <w:rPr>
                <w:b/>
                <w:bCs/>
              </w:rPr>
              <w:t>dsq_thread_id</w:t>
            </w:r>
          </w:p>
        </w:tc>
        <w:tc>
          <w:tcPr>
            <w:tcMar>
              <w:top w:w="15" w:type="dxa"/>
              <w:left w:w="15" w:type="dxa"/>
              <w:bottom w:w="15" w:type="dxa"/>
              <w:right w:w="15" w:type="dxa"/>
            </w:tcMar>
            <w:vAlign w:val="center"/>
            <w:hideMark/>
          </w:tcPr>
          <w:p>
            <w:r>
              <w:t>2673351653</w:t>
            </w:r>
          </w:p>
        </w:tc>
      </w:tr>
      <w:tr>
        <w:tblPrEx>
          <w:tblW w:w="5000" w:type="pct"/>
          <w:tblCellSpacing w:w="15" w:type="dxa"/>
          <w:tblCellMar>
            <w:top w:w="15" w:type="dxa"/>
            <w:left w:w="15" w:type="dxa"/>
            <w:bottom w:w="15" w:type="dxa"/>
            <w:right w:w="15" w:type="dxa"/>
          </w:tblCellMar>
        </w:tblPrEx>
        <w:trPr>
          <w:tblCellSpacing w:w="15" w:type="dxa"/>
        </w:trPr>
        <w:tc>
          <w:tcPr>
            <w:tcW w:w="1650" w:type="pct"/>
            <w:tcMar>
              <w:top w:w="15" w:type="dxa"/>
              <w:left w:w="15" w:type="dxa"/>
              <w:bottom w:w="15" w:type="dxa"/>
              <w:right w:w="15" w:type="dxa"/>
            </w:tcMar>
            <w:vAlign w:val="center"/>
            <w:hideMark/>
          </w:tcPr>
          <w:p>
            <w:r>
              <w:rPr>
                <w:b/>
                <w:bCs/>
              </w:rPr>
              <w:t>zn_zn_disable_subheader</w:t>
            </w:r>
          </w:p>
        </w:tc>
        <w:tc>
          <w:tcPr>
            <w:tcMar>
              <w:top w:w="15" w:type="dxa"/>
              <w:left w:w="15" w:type="dxa"/>
              <w:bottom w:w="15" w:type="dxa"/>
              <w:right w:w="15" w:type="dxa"/>
            </w:tcMar>
            <w:vAlign w:val="center"/>
            <w:hideMark/>
          </w:tcPr>
          <w:p>
            <w:r>
              <w:t>no</w:t>
            </w:r>
          </w:p>
        </w:tc>
      </w:tr>
      <w:tr>
        <w:tblPrEx>
          <w:tblW w:w="5000" w:type="pct"/>
          <w:tblCellSpacing w:w="15" w:type="dxa"/>
          <w:tblCellMar>
            <w:top w:w="15" w:type="dxa"/>
            <w:left w:w="15" w:type="dxa"/>
            <w:bottom w:w="15" w:type="dxa"/>
            <w:right w:w="15" w:type="dxa"/>
          </w:tblCellMar>
        </w:tblPrEx>
        <w:trPr>
          <w:tblCellSpacing w:w="15" w:type="dxa"/>
        </w:trPr>
        <w:tc>
          <w:tcPr>
            <w:tcW w:w="1650" w:type="pct"/>
            <w:tcMar>
              <w:top w:w="15" w:type="dxa"/>
              <w:left w:w="15" w:type="dxa"/>
              <w:bottom w:w="15" w:type="dxa"/>
              <w:right w:w="15" w:type="dxa"/>
            </w:tcMar>
            <w:vAlign w:val="center"/>
            <w:hideMark/>
          </w:tcPr>
          <w:p>
            <w:r>
              <w:rPr>
                <w:b/>
                <w:bCs/>
              </w:rPr>
              <w:t>zn_page_layout</w:t>
            </w:r>
          </w:p>
        </w:tc>
        <w:tc>
          <w:tcPr>
            <w:tcMar>
              <w:top w:w="15" w:type="dxa"/>
              <w:left w:w="15" w:type="dxa"/>
              <w:bottom w:w="15" w:type="dxa"/>
              <w:right w:w="15" w:type="dxa"/>
            </w:tcMar>
            <w:vAlign w:val="center"/>
            <w:hideMark/>
          </w:tcPr>
          <w:p>
            <w:r>
              <w:t>default</w:t>
            </w:r>
          </w:p>
        </w:tc>
      </w:tr>
      <w:tr>
        <w:tblPrEx>
          <w:tblW w:w="5000" w:type="pct"/>
          <w:tblCellSpacing w:w="15" w:type="dxa"/>
          <w:tblCellMar>
            <w:top w:w="15" w:type="dxa"/>
            <w:left w:w="15" w:type="dxa"/>
            <w:bottom w:w="15" w:type="dxa"/>
            <w:right w:w="15" w:type="dxa"/>
          </w:tblCellMar>
        </w:tblPrEx>
        <w:trPr>
          <w:tblCellSpacing w:w="15" w:type="dxa"/>
        </w:trPr>
        <w:tc>
          <w:tcPr>
            <w:tcW w:w="1650" w:type="pct"/>
            <w:tcMar>
              <w:top w:w="15" w:type="dxa"/>
              <w:left w:w="15" w:type="dxa"/>
              <w:bottom w:w="15" w:type="dxa"/>
              <w:right w:w="15" w:type="dxa"/>
            </w:tcMar>
            <w:vAlign w:val="center"/>
            <w:hideMark/>
          </w:tcPr>
          <w:p>
            <w:r>
              <w:rPr>
                <w:b/>
                <w:bCs/>
              </w:rPr>
              <w:t>zn_sidebar_select</w:t>
            </w:r>
          </w:p>
        </w:tc>
        <w:tc>
          <w:tcPr>
            <w:tcMar>
              <w:top w:w="15" w:type="dxa"/>
              <w:left w:w="15" w:type="dxa"/>
              <w:bottom w:w="15" w:type="dxa"/>
              <w:right w:w="15" w:type="dxa"/>
            </w:tcMar>
            <w:vAlign w:val="center"/>
            <w:hideMark/>
          </w:tcPr>
          <w:p>
            <w:r>
              <w:t>default</w:t>
            </w:r>
          </w:p>
        </w:tc>
      </w:tr>
      <w:tr>
        <w:tblPrEx>
          <w:tblW w:w="5000" w:type="pct"/>
          <w:tblCellSpacing w:w="15" w:type="dxa"/>
          <w:tblCellMar>
            <w:top w:w="15" w:type="dxa"/>
            <w:left w:w="15" w:type="dxa"/>
            <w:bottom w:w="15" w:type="dxa"/>
            <w:right w:w="15" w:type="dxa"/>
          </w:tblCellMar>
        </w:tblPrEx>
        <w:trPr>
          <w:tblCellSpacing w:w="15" w:type="dxa"/>
        </w:trPr>
        <w:tc>
          <w:tcPr>
            <w:tcW w:w="1650" w:type="pct"/>
            <w:tcMar>
              <w:top w:w="15" w:type="dxa"/>
              <w:left w:w="15" w:type="dxa"/>
              <w:bottom w:w="15" w:type="dxa"/>
              <w:right w:w="15" w:type="dxa"/>
            </w:tcMar>
            <w:vAlign w:val="center"/>
            <w:hideMark/>
          </w:tcPr>
          <w:p>
            <w:r>
              <w:rPr>
                <w:b/>
                <w:bCs/>
              </w:rPr>
              <w:t>zn_page_builder_layout</w:t>
            </w:r>
          </w:p>
        </w:tc>
        <w:tc>
          <w:tcPr>
            <w:tcMar>
              <w:top w:w="15" w:type="dxa"/>
              <w:left w:w="15" w:type="dxa"/>
              <w:bottom w:w="15" w:type="dxa"/>
              <w:right w:w="15" w:type="dxa"/>
            </w:tcMar>
            <w:vAlign w:val="center"/>
            <w:hideMark/>
          </w:tcPr>
          <w:p>
            <w:r>
              <w:t>default</w:t>
            </w:r>
          </w:p>
        </w:tc>
      </w:tr>
      <w:tr>
        <w:tblPrEx>
          <w:tblW w:w="5000" w:type="pct"/>
          <w:tblCellSpacing w:w="15" w:type="dxa"/>
          <w:tblCellMar>
            <w:top w:w="15" w:type="dxa"/>
            <w:left w:w="15" w:type="dxa"/>
            <w:bottom w:w="15" w:type="dxa"/>
            <w:right w:w="15" w:type="dxa"/>
          </w:tblCellMar>
        </w:tblPrEx>
        <w:trPr>
          <w:tblCellSpacing w:w="15" w:type="dxa"/>
        </w:trPr>
        <w:tc>
          <w:tcPr>
            <w:tcW w:w="1650" w:type="pct"/>
            <w:tcMar>
              <w:top w:w="15" w:type="dxa"/>
              <w:left w:w="15" w:type="dxa"/>
              <w:bottom w:w="15" w:type="dxa"/>
              <w:right w:w="15" w:type="dxa"/>
            </w:tcMar>
            <w:vAlign w:val="center"/>
            <w:hideMark/>
          </w:tcPr>
          <w:p>
            <w:r>
              <w:rPr>
                <w:b/>
                <w:bCs/>
              </w:rPr>
              <w:t>zn_show_social</w:t>
            </w:r>
          </w:p>
        </w:tc>
        <w:tc>
          <w:tcPr>
            <w:tcMar>
              <w:top w:w="15" w:type="dxa"/>
              <w:left w:w="15" w:type="dxa"/>
              <w:bottom w:w="15" w:type="dxa"/>
              <w:right w:w="15" w:type="dxa"/>
            </w:tcMar>
            <w:vAlign w:val="center"/>
            <w:hideMark/>
          </w:tcPr>
          <w:p>
            <w:r>
              <w:t>default</w:t>
            </w:r>
          </w:p>
        </w:tc>
      </w:tr>
    </w:tbl>
    <w:p>
      <w:pPr>
        <w:rPr>
          <w:rFonts w:ascii="Times New Roman" w:eastAsia="Times New Roman" w:hAnsi="Times New Roman" w:cs="Times New Roman"/>
          <w:i w:val="0"/>
          <w:color w:val="auto"/>
        </w:rPr>
      </w:pPr>
    </w:p>
    <w:sectPr>
      <w:pgMar w:header="720" w:footer="720"/>
      <w:cols w:space="720"/>
    </w:sectPr>
  </w:body>
</w:document>
</file>

<file path=word/fontTable.xml><?xml version="1.0" encoding="utf-8"?>
<w:fonts xmlns:r="http://schemas.openxmlformats.org/officeDocument/2006/relationships" xmlns:w="http://schemas.openxmlformats.org/wordprocessingml/2006/main"/>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view w:val="normal"/>
  <w:zoom w:percent="100"/>
  <w:defaultTabStop w:val="720"/>
  <w:noPunctuationKerning/>
  <w:characterSpacingControl w:val="doNotCompress"/>
  <w:compat/>
  <w:rsids>
    <w:rsidRoot w:val="00000000"/>
  </w:rsids>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r="http://schemas.openxmlformats.org/officeDocument/2006/relationships" xmlns:w="http://schemas.openxmlformats.org/wordprocessingml/2006/main">
  <w:docDefaults>
    <w:rPrDefault>
      <w:rPr>
        <w:lang w:val="en-US" w:eastAsia="en-US"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805BCE"/>
    <w:rPr>
      <w:sz w:val="24"/>
      <w:szCs w:val="24"/>
    </w:rPr>
  </w:style>
  <w:style w:type="paragraph" w:styleId="Heading1">
    <w:name w:val="heading 1"/>
    <w:basedOn w:val="Normal"/>
    <w:next w:val="Normal"/>
    <w:link w:val="Heading1Char"/>
    <w:uiPriority w:val="9"/>
    <w:qFormat/>
    <w:rsid w:val="00506D7A"/>
    <w:pPr>
      <w:keepNext/>
      <w:keepLines/>
      <w:spacing w:before="240" w:after="0"/>
      <w:outlineLvl w:val="0"/>
    </w:pPr>
    <w:rPr>
      <w:rFonts w:ascii="Times New Roman" w:eastAsia="Times New Roman" w:hAnsi="Times New Roman" w:cs="Times New Roman"/>
      <w:b/>
      <w:bCs/>
      <w:i w:val="0"/>
      <w:color w:val="2F5496" w:themeShade="BF"/>
      <w:kern w:val="36"/>
      <w:sz w:val="48"/>
      <w:szCs w:val="48"/>
    </w:rPr>
  </w:style>
  <w:style w:type="paragraph" w:styleId="Heading2">
    <w:name w:val="heading 2"/>
    <w:basedOn w:val="Normal"/>
    <w:next w:val="Normal"/>
    <w:link w:val="Heading2Char"/>
    <w:uiPriority w:val="9"/>
    <w:qFormat/>
    <w:rsid w:val="00506D7A"/>
    <w:pPr>
      <w:keepNext/>
      <w:keepLines/>
      <w:spacing w:before="40" w:after="0"/>
      <w:outlineLvl w:val="1"/>
    </w:pPr>
    <w:rPr>
      <w:rFonts w:ascii="Times New Roman" w:eastAsia="Times New Roman" w:hAnsi="Times New Roman" w:cs="Times New Roman"/>
      <w:b/>
      <w:bCs/>
      <w:i w:val="0"/>
      <w:color w:val="2F5496" w:themeShade="BF"/>
      <w:sz w:val="36"/>
      <w:szCs w:val="36"/>
    </w:rPr>
  </w:style>
  <w:style w:type="paragraph" w:styleId="Heading3">
    <w:name w:val="heading 3"/>
    <w:basedOn w:val="Normal"/>
    <w:next w:val="Normal"/>
    <w:link w:val="Heading3Char"/>
    <w:uiPriority w:val="9"/>
    <w:qFormat/>
    <w:rsid w:val="00506D7A"/>
    <w:pPr>
      <w:keepNext/>
      <w:keepLines/>
      <w:spacing w:before="40" w:after="0"/>
      <w:outlineLvl w:val="2"/>
    </w:pPr>
    <w:rPr>
      <w:rFonts w:ascii="Times New Roman" w:eastAsia="Times New Roman" w:hAnsi="Times New Roman" w:cs="Times New Roman"/>
      <w:b/>
      <w:bCs/>
      <w:i w:val="0"/>
      <w:color w:val="1F3763" w:themeShade="7F"/>
      <w:sz w:val="28"/>
      <w:szCs w:val="28"/>
    </w:rPr>
  </w:style>
  <w:style w:type="paragraph" w:styleId="Heading4">
    <w:name w:val="heading 4"/>
    <w:basedOn w:val="Normal"/>
    <w:next w:val="Normal"/>
    <w:link w:val="Heading4Char"/>
    <w:uiPriority w:val="9"/>
    <w:qFormat/>
    <w:rsid w:val="00506D7A"/>
    <w:pPr>
      <w:keepNext/>
      <w:keepLines/>
      <w:spacing w:before="40" w:after="0"/>
      <w:outlineLvl w:val="3"/>
    </w:pPr>
    <w:rPr>
      <w:rFonts w:ascii="Times New Roman" w:eastAsia="Times New Roman" w:hAnsi="Times New Roman" w:cs="Times New Roman"/>
      <w:b/>
      <w:bCs/>
      <w:i w:val="0"/>
      <w:iCs/>
      <w:color w:val="2F5496" w:themeShade="BF"/>
      <w:sz w:val="24"/>
      <w:szCs w:val="24"/>
    </w:rPr>
  </w:style>
  <w:style w:type="paragraph" w:styleId="Heading5">
    <w:name w:val="heading 5"/>
    <w:basedOn w:val="Normal"/>
    <w:next w:val="Normal"/>
    <w:link w:val="Heading5Char"/>
    <w:uiPriority w:val="9"/>
    <w:qFormat/>
    <w:rsid w:val="00506D7A"/>
    <w:pPr>
      <w:keepNext/>
      <w:keepLines/>
      <w:spacing w:before="40" w:after="0"/>
      <w:outlineLvl w:val="4"/>
    </w:pPr>
    <w:rPr>
      <w:rFonts w:ascii="Times New Roman" w:eastAsia="Times New Roman" w:hAnsi="Times New Roman" w:cs="Times New Roman"/>
      <w:b/>
      <w:bCs/>
      <w:i w:val="0"/>
      <w:color w:val="2F5496" w:themeShade="BF"/>
      <w:sz w:val="20"/>
      <w:szCs w:val="20"/>
    </w:rPr>
  </w:style>
  <w:style w:type="paragraph" w:styleId="Heading6">
    <w:name w:val="heading 6"/>
    <w:basedOn w:val="Normal"/>
    <w:next w:val="Normal"/>
    <w:link w:val="Heading6Char"/>
    <w:uiPriority w:val="9"/>
    <w:qFormat/>
    <w:rsid w:val="00506D7A"/>
    <w:pPr>
      <w:keepNext/>
      <w:keepLines/>
      <w:spacing w:before="40" w:after="0"/>
      <w:outlineLvl w:val="5"/>
    </w:pPr>
    <w:rPr>
      <w:rFonts w:ascii="Times New Roman" w:eastAsia="Times New Roman" w:hAnsi="Times New Roman" w:cs="Times New Roman"/>
      <w:b/>
      <w:bCs/>
      <w:i w:val="0"/>
      <w:color w:val="1F3763" w:themeShade="7F"/>
      <w:sz w:val="16"/>
      <w:szCs w:val="16"/>
    </w:rPr>
  </w:style>
  <w:style w:type="character" w:default="1" w:styleId="DefaultParagraphFont">
    <w:name w:val="Default Paragraph Font"/>
    <w:semiHidden/>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character" w:customStyle="1" w:styleId="Heading1Char">
    <w:name w:val="Heading 1 Char"/>
    <w:basedOn w:val="DefaultParagraphFont"/>
    <w:link w:val="Heading1"/>
    <w:uiPriority w:val="9"/>
    <w:rsid w:val="00506D7A"/>
    <w:rPr>
      <w:rFonts w:ascii="Calibri Light" w:eastAsia="Times New Roman" w:hAnsi="Calibri Light" w:cs="Times New Roman"/>
      <w:color w:val="2F5496" w:themeShade="BF"/>
      <w:sz w:val="32"/>
      <w:szCs w:val="32"/>
    </w:rPr>
  </w:style>
  <w:style w:type="character" w:customStyle="1" w:styleId="Heading2Char">
    <w:name w:val="Heading 2 Char"/>
    <w:basedOn w:val="DefaultParagraphFont"/>
    <w:link w:val="Heading2"/>
    <w:uiPriority w:val="9"/>
    <w:rsid w:val="00506D7A"/>
    <w:rPr>
      <w:rFonts w:ascii="Calibri Light" w:eastAsia="Times New Roman" w:hAnsi="Calibri Light" w:cs="Times New Roman"/>
      <w:color w:val="2F5496" w:themeShade="BF"/>
      <w:sz w:val="26"/>
      <w:szCs w:val="26"/>
    </w:rPr>
  </w:style>
  <w:style w:type="character" w:customStyle="1" w:styleId="Heading3Char">
    <w:name w:val="Heading 3 Char"/>
    <w:basedOn w:val="DefaultParagraphFont"/>
    <w:link w:val="Heading3"/>
    <w:uiPriority w:val="9"/>
    <w:rsid w:val="00506D7A"/>
    <w:rPr>
      <w:rFonts w:ascii="Calibri Light" w:eastAsia="Times New Roman" w:hAnsi="Calibri Light" w:cs="Times New Roman"/>
      <w:color w:val="1F3763" w:themeShade="7F"/>
      <w:sz w:val="24"/>
      <w:szCs w:val="24"/>
    </w:rPr>
  </w:style>
  <w:style w:type="character" w:customStyle="1" w:styleId="Heading4Char">
    <w:name w:val="Heading 4 Char"/>
    <w:basedOn w:val="DefaultParagraphFont"/>
    <w:link w:val="Heading4"/>
    <w:uiPriority w:val="9"/>
    <w:rsid w:val="00506D7A"/>
    <w:rPr>
      <w:rFonts w:ascii="Calibri Light" w:eastAsia="Times New Roman" w:hAnsi="Calibri Light" w:cs="Times New Roman"/>
      <w:i/>
      <w:iCs/>
      <w:color w:val="2F5496" w:themeShade="BF"/>
    </w:rPr>
  </w:style>
  <w:style w:type="character" w:customStyle="1" w:styleId="Heading5Char">
    <w:name w:val="Heading 5 Char"/>
    <w:basedOn w:val="DefaultParagraphFont"/>
    <w:link w:val="Heading5"/>
    <w:uiPriority w:val="9"/>
    <w:rsid w:val="00506D7A"/>
    <w:rPr>
      <w:rFonts w:ascii="Calibri Light" w:eastAsia="Times New Roman" w:hAnsi="Calibri Light" w:cs="Times New Roman"/>
      <w:color w:val="2F5496" w:themeShade="BF"/>
    </w:rPr>
  </w:style>
  <w:style w:type="character" w:customStyle="1" w:styleId="Heading6Char">
    <w:name w:val="Heading 6 Char"/>
    <w:basedOn w:val="DefaultParagraphFont"/>
    <w:link w:val="Heading6"/>
    <w:uiPriority w:val="9"/>
    <w:rsid w:val="00506D7A"/>
    <w:rPr>
      <w:rFonts w:ascii="Calibri Light" w:eastAsia="Times New Roman" w:hAnsi="Calibri Light" w:cs="Times New Roman"/>
      <w:color w:val="1F3763" w:themeShade="7F"/>
    </w:rPr>
  </w:style>
</w:styles>
</file>

<file path=word/webSettings.xml><?xml version="1.0" encoding="utf-8"?>
<w:webSettings xmlns:r="http://schemas.openxmlformats.org/officeDocument/2006/relationships" xmlns:w="http://schemas.openxmlformats.org/wordprocessingml/2006/main"/>
</file>

<file path=word/_rels/document.xml.rels><?xml version="1.0" encoding="utf-8" standalone="yes"?><Relationships xmlns="http://schemas.openxmlformats.org/package/2006/relationships"><Relationship Id="rId1" Type="http://schemas.openxmlformats.org/officeDocument/2006/relationships/settings" Target="settings.xml" /><Relationship Id="rId2" Type="http://schemas.openxmlformats.org/officeDocument/2006/relationships/webSettings" Target="webSettings.xml" /><Relationship Id="rId3" Type="http://schemas.openxmlformats.org/officeDocument/2006/relationships/fontTable" Target="fontTable.xml" /><Relationship Id="rId4" Type="http://schemas.openxmlformats.org/officeDocument/2006/relationships/theme" Target="theme/theme1.xml" /><Relationship Id="rId5" Type="http://schemas.openxmlformats.org/officeDocument/2006/relationships/styles" Target="styles.xml" /></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otalTime>0</TotalTime>
  <Pages>0</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Religious Druggery [poem]</dc:title>
  <cp:revision>0</cp:revision>
</cp:coreProperties>
</file>