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23 (Southall UK)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2011-08-23 13:46:26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pPr>
        <w:rPr>
          <w:b/>
          <w:bCs/>
        </w:rPr>
      </w:pPr>
      <w:r>
        <w:rPr>
          <w:b/>
          <w:bCs/>
        </w:rPr>
        <w:t>Telling Stories</w:t>
      </w:r>
      <w:r>
        <w:t xml:space="preserve"> The teenagers in the homework club at the Somali community centre were all given the same task. Write an article, in the style of a newspaper report, about a teenager who heroically rescues a young child. It was up to them to imagine a heroic rescue, and decide what had happened and who was involved. That each one of these Somali teenagers gave their stories a generically English setting is perhaps not so surprising. Yet none of them gave their characters anything but typically English names. The heroes were John and Matthew; there was no Omar, no Abdullahi, no Amina. Please pray for children and young people of immigrant families as they negotiate growing up in the cultures of their homes and of the wider society in which they live. </w:t>
      </w:r>
      <w:r>
        <w:rPr>
          <w:b/>
          <w:bCs/>
          <w:i/>
          <w:iCs/>
        </w:rPr>
        <w:t>[Claire is a member of the Southall Team]</w:t>
      </w:r>
      <w:r>
        <w:t xml:space="preserve">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23 (Southall UK)</dc:title>
  <cp:revision>0</cp:revision>
</cp:coreProperties>
</file>