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Collaborating for the Kingdom</w:t>
      </w:r>
    </w:p>
    <w:tbl>
      <w:tblPr>
        <w:tblStyle w:val="table"/>
        <w:tblW w:w="5000" w:type="pct"/>
        <w:tblCellMar>
          <w:top w:w="15" w:type="dxa"/>
          <w:left w:w="15" w:type="dxa"/>
          <w:bottom w:w="15" w:type="dxa"/>
          <w:right w:w="15" w:type="dxa"/>
        </w:tblCellMar>
        <w:tblLook w:val="05E0"/>
      </w:tblPr>
      <w:tblGrid>
        <w:gridCol w:w="3089"/>
        <w:gridCol w:w="6271"/>
      </w:tblGrid>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Author</w:t>
            </w:r>
          </w:p>
        </w:tc>
        <w:tc>
          <w:tcPr>
            <w:tcMar>
              <w:top w:w="150" w:type="dxa"/>
              <w:left w:w="155" w:type="dxa"/>
              <w:bottom w:w="150" w:type="dxa"/>
              <w:right w:w="155" w:type="dxa"/>
            </w:tcMar>
            <w:vAlign w:val="center"/>
            <w:hideMark/>
          </w:tcPr>
          <w:p>
            <w:r>
              <w:t>Tom Wartenweiler</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Date</w:t>
            </w:r>
          </w:p>
        </w:tc>
        <w:tc>
          <w:tcPr>
            <w:tcMar>
              <w:top w:w="150" w:type="dxa"/>
              <w:left w:w="155" w:type="dxa"/>
              <w:bottom w:w="150" w:type="dxa"/>
              <w:right w:w="155" w:type="dxa"/>
            </w:tcMar>
            <w:vAlign w:val="center"/>
            <w:hideMark/>
          </w:tcPr>
          <w:p>
            <w:r>
              <w:t>2015-08-17 12:52:29</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Categories</w:t>
            </w:r>
          </w:p>
        </w:tc>
        <w:tc>
          <w:tcPr>
            <w:tcMar>
              <w:top w:w="150" w:type="dxa"/>
              <w:left w:w="155" w:type="dxa"/>
              <w:bottom w:w="150" w:type="dxa"/>
              <w:right w:w="155" w:type="dxa"/>
            </w:tcMar>
            <w:vAlign w:val="center"/>
            <w:hideMark/>
          </w:tcP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Here are links to some like-minded organizations that we recommend:</w:t>
      </w:r>
    </w:p>
    <w:p>
      <w:r>
        <w:t xml:space="preserve">  </w:t>
      </w:r>
    </w:p>
    <w:tbl>
      <w:tblPr>
        <w:tblStyle w:val="table"/>
        <w:tblW w:w="5000" w:type="pct"/>
        <w:tblCellMar>
          <w:top w:w="15" w:type="dxa"/>
          <w:left w:w="15" w:type="dxa"/>
          <w:bottom w:w="15" w:type="dxa"/>
          <w:right w:w="15" w:type="dxa"/>
        </w:tblCellMar>
        <w:tblLook w:val="05E0"/>
      </w:tblPr>
      <w:tblGrid>
        <w:gridCol w:w="5495"/>
        <w:gridCol w:w="3865"/>
      </w:tblGrid>
      <w:tr>
        <w:tblPrEx>
          <w:tblW w:w="5000" w:type="pct"/>
          <w:tblCellMar>
            <w:top w:w="15" w:type="dxa"/>
            <w:left w:w="15" w:type="dxa"/>
            <w:bottom w:w="15" w:type="dxa"/>
            <w:right w:w="15" w:type="dxa"/>
          </w:tblCellMar>
          <w:tblLook w:val="05E0"/>
        </w:tblPrEx>
        <w:tc>
          <w:tcPr>
            <w:tcW w:w="4875" w:type="dxa"/>
            <w:gridSpan w:val="2"/>
            <w:tcBorders>
              <w:top w:val="none" w:sz="0" w:space="0" w:color="auto"/>
              <w:left w:val="none" w:sz="0" w:space="0" w:color="auto"/>
              <w:bottom w:val="none" w:sz="0" w:space="0" w:color="auto"/>
              <w:right w:val="none" w:sz="0" w:space="0" w:color="auto"/>
            </w:tcBorders>
            <w:tcMar>
              <w:left w:w="108" w:type="dxa"/>
              <w:right w:w="108" w:type="dxa"/>
            </w:tcMar>
            <w:vAlign w:val="center"/>
            <w:hideMark/>
          </w:tcPr>
          <w:p>
            <w:pPr>
              <w:pStyle w:val="Heading4"/>
              <w:keepNext w:val="0"/>
              <w:keepLines w:val="0"/>
              <w:spacing w:before="0" w:after="0"/>
              <w:ind w:left="0" w:right="0"/>
              <w:jc w:val="center"/>
              <w:rPr>
                <w:b/>
                <w:bCs/>
              </w:rPr>
            </w:pPr>
            <w:r>
              <w:rPr>
                <w:rFonts w:ascii="Times New Roman" w:eastAsia="Times New Roman" w:hAnsi="Times New Roman" w:cs="Times New Roman"/>
                <w:i w:val="0"/>
                <w:iCs w:val="0"/>
                <w:color w:val="auto"/>
              </w:rPr>
              <w:t>New Friars organizations working in slum communities:</w:t>
            </w:r>
          </w:p>
        </w:tc>
      </w:tr>
      <w:tr>
        <w:tblPrEx>
          <w:tblW w:w="5000" w:type="pct"/>
          <w:tblCellMar>
            <w:top w:w="15" w:type="dxa"/>
            <w:left w:w="15" w:type="dxa"/>
            <w:bottom w:w="15" w:type="dxa"/>
            <w:right w:w="15" w:type="dxa"/>
          </w:tblCellMar>
          <w:tblLook w:val="05E0"/>
        </w:tblPrEx>
        <w:tc>
          <w:tcPr>
            <w:tcW w:w="5185" w:type="dxa"/>
            <w:tcMar>
              <w:top w:w="150" w:type="dxa"/>
              <w:left w:w="155" w:type="dxa"/>
              <w:bottom w:w="150" w:type="dxa"/>
              <w:right w:w="155" w:type="dxa"/>
            </w:tcMar>
            <w:vAlign w:val="center"/>
            <w:hideMark/>
          </w:tcPr>
          <w:p>
            <w:r>
              <w:rPr>
                <w:strike w:val="0"/>
                <w:color w:val="0000EE"/>
                <w:u w:val="none" w:color="0000EE"/>
              </w:rPr>
              <w:drawing>
                <wp:inline>
                  <wp:extent cx="2857500" cy="700088"/>
                  <wp:docPr id="100001" name="" descr="InnerChange">
                    <a:hlinkClick xmlns:a="http://schemas.openxmlformats.org/drawingml/2006/main" xmlns:r="http://schemas.openxmlformats.org/officeDocument/2006/relationships" r:id="rId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57500" cy="700088"/>
                          </a:xfrm>
                          <a:prstGeom prst="rect">
                            <a:avLst/>
                          </a:prstGeom>
                        </pic:spPr>
                      </pic:pic>
                    </a:graphicData>
                  </a:graphic>
                </wp:inline>
              </w:drawing>
            </w:r>
          </w:p>
        </w:tc>
        <w:tc>
          <w:tcPr>
            <w:tcMar>
              <w:top w:w="150" w:type="dxa"/>
              <w:left w:w="155" w:type="dxa"/>
              <w:bottom w:w="150" w:type="dxa"/>
              <w:right w:w="155" w:type="dxa"/>
            </w:tcMar>
            <w:vAlign w:val="center"/>
            <w:hideMark/>
          </w:tcPr>
          <w:p>
            <w:r>
              <w:t>We are InnerCHANGE, a Christian order among the poor. We send teams to live and work in marginalized neighborhoods around the world – places most people want to avoid or ignore. We seek to live out the good news of Jesus among the poor, both with words and deeds.</w:t>
            </w:r>
          </w:p>
        </w:tc>
      </w:tr>
      <w:tr>
        <w:tblPrEx>
          <w:tblW w:w="5000" w:type="pct"/>
          <w:tblCellMar>
            <w:top w:w="15" w:type="dxa"/>
            <w:left w:w="15" w:type="dxa"/>
            <w:bottom w:w="15" w:type="dxa"/>
            <w:right w:w="15" w:type="dxa"/>
          </w:tblCellMar>
          <w:tblLook w:val="05E0"/>
        </w:tblPrEx>
        <w:tc>
          <w:tcPr>
            <w:tcW w:w="5185" w:type="dxa"/>
            <w:tcMar>
              <w:top w:w="150" w:type="dxa"/>
              <w:left w:w="155" w:type="dxa"/>
              <w:bottom w:w="150" w:type="dxa"/>
              <w:right w:w="155" w:type="dxa"/>
            </w:tcMar>
            <w:vAlign w:val="center"/>
            <w:hideMark/>
          </w:tcPr>
          <w:p>
            <w:hyperlink r:id="rId6" w:tgtFrame="_blank" w:history="1">
              <w:r>
                <w:rPr>
                  <w:strike w:val="0"/>
                  <w:color w:val="0000EE"/>
                  <w:u w:val="none" w:color="0000EE"/>
                </w:rPr>
                <w:drawing>
                  <wp:inline>
                    <wp:extent cx="2857500" cy="842962"/>
                    <wp:docPr id="100003" name="" descr="Servant Part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2857500" cy="842962"/>
                            </a:xfrm>
                            <a:prstGeom prst="rect">
                              <a:avLst/>
                            </a:prstGeom>
                          </pic:spPr>
                        </pic:pic>
                      </a:graphicData>
                    </a:graphic>
                  </wp:inline>
                </w:drawing>
              </w:r>
              <w:r>
                <w:rPr>
                  <w:color w:val="0000EE"/>
                  <w:u w:val="single" w:color="0000EE"/>
                </w:rPr>
                <w:t xml:space="preserve"> </w:t>
              </w:r>
            </w:hyperlink>
          </w:p>
        </w:tc>
        <w:tc>
          <w:tcPr>
            <w:tcMar>
              <w:top w:w="150" w:type="dxa"/>
              <w:left w:w="155" w:type="dxa"/>
              <w:bottom w:w="150" w:type="dxa"/>
              <w:right w:w="155" w:type="dxa"/>
            </w:tcMar>
            <w:vAlign w:val="center"/>
            <w:hideMark/>
          </w:tcPr>
          <w:p>
            <w:r>
              <w:t>Servant Partners sends teams of missionaries to slum communities to share their lives with the urban poor and live out the Gospel among their neighbors.</w:t>
            </w:r>
          </w:p>
        </w:tc>
      </w:tr>
      <w:tr>
        <w:tblPrEx>
          <w:tblW w:w="5000" w:type="pct"/>
          <w:tblCellMar>
            <w:top w:w="15" w:type="dxa"/>
            <w:left w:w="15" w:type="dxa"/>
            <w:bottom w:w="15" w:type="dxa"/>
            <w:right w:w="15" w:type="dxa"/>
          </w:tblCellMar>
          <w:tblLook w:val="05E0"/>
        </w:tblPrEx>
        <w:tc>
          <w:tcPr>
            <w:tcW w:w="5185" w:type="dxa"/>
            <w:tcMar>
              <w:top w:w="150" w:type="dxa"/>
              <w:left w:w="155" w:type="dxa"/>
              <w:bottom w:w="150" w:type="dxa"/>
              <w:right w:w="155" w:type="dxa"/>
            </w:tcMar>
            <w:vAlign w:val="center"/>
            <w:hideMark/>
          </w:tcPr>
          <w:p>
            <w:hyperlink r:id="rId8" w:history="1">
              <w:r>
                <w:rPr>
                  <w:strike w:val="0"/>
                  <w:color w:val="0000EE"/>
                  <w:u w:val="none" w:color="0000EE"/>
                </w:rPr>
                <w:drawing>
                  <wp:inline>
                    <wp:extent cx="2857500" cy="1206500"/>
                    <wp:docPr id="100005" name="" descr="UNO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2857500" cy="1206500"/>
                            </a:xfrm>
                            <a:prstGeom prst="rect">
                              <a:avLst/>
                            </a:prstGeom>
                          </pic:spPr>
                        </pic:pic>
                      </a:graphicData>
                    </a:graphic>
                  </wp:inline>
                </w:drawing>
              </w:r>
              <w:r>
                <w:rPr>
                  <w:color w:val="0000EE"/>
                  <w:u w:val="single" w:color="0000EE"/>
                </w:rPr>
                <w:t xml:space="preserve"> </w:t>
              </w:r>
            </w:hyperlink>
          </w:p>
        </w:tc>
        <w:tc>
          <w:tcPr>
            <w:tcMar>
              <w:top w:w="150" w:type="dxa"/>
              <w:left w:w="155" w:type="dxa"/>
              <w:bottom w:w="150" w:type="dxa"/>
              <w:right w:w="155" w:type="dxa"/>
            </w:tcMar>
            <w:vAlign w:val="center"/>
            <w:hideMark/>
          </w:tcPr>
          <w:p>
            <w:r>
              <w:t>We immerse ourselves in the life of neighbourhoods facing urban poverty, joining the risen Jesus to seek transformation from the bottom up. We live and serve as small, responsive neighbourhood-based teams within cities in Thailand, New Zealand and Australia.</w:t>
            </w:r>
          </w:p>
        </w:tc>
      </w:tr>
      <w:tr>
        <w:tblPrEx>
          <w:tblW w:w="5000" w:type="pct"/>
          <w:tblCellMar>
            <w:top w:w="15" w:type="dxa"/>
            <w:left w:w="15" w:type="dxa"/>
            <w:bottom w:w="15" w:type="dxa"/>
            <w:right w:w="15" w:type="dxa"/>
          </w:tblCellMar>
          <w:tblLook w:val="05E0"/>
        </w:tblPrEx>
        <w:tc>
          <w:tcPr>
            <w:tcW w:w="5185" w:type="dxa"/>
            <w:tcMar>
              <w:top w:w="150" w:type="dxa"/>
              <w:left w:w="155" w:type="dxa"/>
              <w:bottom w:w="150" w:type="dxa"/>
              <w:right w:w="155" w:type="dxa"/>
            </w:tcMar>
            <w:vAlign w:val="center"/>
            <w:hideMark/>
          </w:tcPr>
          <w:p>
            <w:r>
              <w:rPr>
                <w:strike w:val="0"/>
                <w:color w:val="0000EE"/>
                <w:u w:val="none" w:color="0000EE"/>
              </w:rPr>
              <w:drawing>
                <wp:inline>
                  <wp:extent cx="2857500" cy="1028700"/>
                  <wp:docPr id="100007" name="" descr="Word Made Flesh">
                    <a:hlinkClick xmlns:a="http://schemas.openxmlformats.org/drawingml/2006/main" xmlns:r="http://schemas.openxmlformats.org/officeDocument/2006/relationships" r:id="rId1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1"/>
                          <a:stretch>
                            <a:fillRect/>
                          </a:stretch>
                        </pic:blipFill>
                        <pic:spPr>
                          <a:xfrm>
                            <a:off x="0" y="0"/>
                            <a:ext cx="2857500" cy="1028700"/>
                          </a:xfrm>
                          <a:prstGeom prst="rect">
                            <a:avLst/>
                          </a:prstGeom>
                        </pic:spPr>
                      </pic:pic>
                    </a:graphicData>
                  </a:graphic>
                </wp:inline>
              </w:drawing>
            </w:r>
          </w:p>
        </w:tc>
        <w:tc>
          <w:tcPr>
            <w:tcMar>
              <w:top w:w="150" w:type="dxa"/>
              <w:left w:w="155" w:type="dxa"/>
              <w:bottom w:w="150" w:type="dxa"/>
              <w:right w:w="155" w:type="dxa"/>
            </w:tcMar>
            <w:vAlign w:val="center"/>
            <w:hideMark/>
          </w:tcPr>
          <w:p>
            <w:r>
              <w:t>Word Made Flesh is community of people vocationally called and committed to serving Jesus among the most vulnerable of the world’s poor. Our communities are spread out all around the world in South America, South Asia, Eastern Europe, West Africa.</w:t>
            </w:r>
          </w:p>
        </w:tc>
      </w:tr>
    </w:tbl>
    <w:p>
      <w:r>
        <w:t xml:space="preserve">  </w:t>
      </w:r>
    </w:p>
    <w:tbl>
      <w:tblPr>
        <w:tblStyle w:val="table"/>
        <w:tblW w:w="5000" w:type="pct"/>
        <w:tblCellMar>
          <w:top w:w="15" w:type="dxa"/>
          <w:left w:w="15" w:type="dxa"/>
          <w:bottom w:w="15" w:type="dxa"/>
          <w:right w:w="15" w:type="dxa"/>
        </w:tblCellMar>
        <w:tblLook w:val="05E0"/>
      </w:tblPr>
      <w:tblGrid>
        <w:gridCol w:w="5495"/>
        <w:gridCol w:w="3865"/>
      </w:tblGrid>
      <w:tr>
        <w:tblPrEx>
          <w:tblW w:w="5000" w:type="pct"/>
          <w:tblCellMar>
            <w:top w:w="15" w:type="dxa"/>
            <w:left w:w="15" w:type="dxa"/>
            <w:bottom w:w="15" w:type="dxa"/>
            <w:right w:w="15" w:type="dxa"/>
          </w:tblCellMar>
          <w:tblLook w:val="05E0"/>
        </w:tblPrEx>
        <w:tc>
          <w:tcPr>
            <w:tcW w:w="4875" w:type="dxa"/>
            <w:gridSpan w:val="2"/>
            <w:tcBorders>
              <w:top w:val="none" w:sz="0" w:space="0" w:color="auto"/>
              <w:left w:val="none" w:sz="0" w:space="0" w:color="auto"/>
              <w:bottom w:val="none" w:sz="0" w:space="0" w:color="auto"/>
              <w:right w:val="none" w:sz="0" w:space="0" w:color="auto"/>
            </w:tcBorders>
            <w:tcMar>
              <w:left w:w="108" w:type="dxa"/>
              <w:right w:w="108" w:type="dxa"/>
            </w:tcMar>
            <w:vAlign w:val="center"/>
            <w:hideMark/>
          </w:tcPr>
          <w:p>
            <w:pPr>
              <w:pStyle w:val="Heading4"/>
              <w:keepNext w:val="0"/>
              <w:keepLines w:val="0"/>
              <w:spacing w:before="0" w:after="0"/>
              <w:ind w:left="0" w:right="0"/>
              <w:jc w:val="center"/>
              <w:rPr>
                <w:b/>
                <w:bCs/>
              </w:rPr>
            </w:pPr>
            <w:r>
              <w:rPr>
                <w:rFonts w:ascii="Times New Roman" w:eastAsia="Times New Roman" w:hAnsi="Times New Roman" w:cs="Times New Roman"/>
                <w:i w:val="0"/>
                <w:iCs w:val="0"/>
                <w:color w:val="auto"/>
              </w:rPr>
              <w:t>Intentional Christian communities in Western inner cities:</w:t>
            </w:r>
          </w:p>
        </w:tc>
      </w:tr>
      <w:tr>
        <w:tblPrEx>
          <w:tblW w:w="5000" w:type="pct"/>
          <w:tblCellMar>
            <w:top w:w="15" w:type="dxa"/>
            <w:left w:w="15" w:type="dxa"/>
            <w:bottom w:w="15" w:type="dxa"/>
            <w:right w:w="15" w:type="dxa"/>
          </w:tblCellMar>
          <w:tblLook w:val="05E0"/>
        </w:tblPrEx>
        <w:tc>
          <w:tcPr>
            <w:tcW w:w="5185" w:type="dxa"/>
            <w:tcMar>
              <w:top w:w="150" w:type="dxa"/>
              <w:left w:w="155" w:type="dxa"/>
              <w:bottom w:w="150" w:type="dxa"/>
              <w:right w:w="155" w:type="dxa"/>
            </w:tcMar>
            <w:vAlign w:val="center"/>
            <w:hideMark/>
          </w:tcPr>
          <w:p>
            <w:r>
              <w:rPr>
                <w:strike w:val="0"/>
                <w:color w:val="0000EE"/>
                <w:u w:val="none" w:color="0000EE"/>
              </w:rPr>
              <w:drawing>
                <wp:inline>
                  <wp:extent cx="2857500" cy="647700"/>
                  <wp:docPr id="100009" name="" descr="Urban Vision">
                    <a:hlinkClick xmlns:a="http://schemas.openxmlformats.org/drawingml/2006/main" xmlns:r="http://schemas.openxmlformats.org/officeDocument/2006/relationships" r:id="rId1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3"/>
                          <a:stretch>
                            <a:fillRect/>
                          </a:stretch>
                        </pic:blipFill>
                        <pic:spPr>
                          <a:xfrm>
                            <a:off x="0" y="0"/>
                            <a:ext cx="2857500" cy="647700"/>
                          </a:xfrm>
                          <a:prstGeom prst="rect">
                            <a:avLst/>
                          </a:prstGeom>
                        </pic:spPr>
                      </pic:pic>
                    </a:graphicData>
                  </a:graphic>
                </wp:inline>
              </w:drawing>
            </w:r>
          </w:p>
        </w:tc>
        <w:tc>
          <w:tcPr>
            <w:tcMar>
              <w:top w:w="150" w:type="dxa"/>
              <w:left w:w="155" w:type="dxa"/>
              <w:bottom w:w="150" w:type="dxa"/>
              <w:right w:w="155" w:type="dxa"/>
            </w:tcMar>
            <w:vAlign w:val="center"/>
            <w:hideMark/>
          </w:tcPr>
          <w:p>
            <w:r>
              <w:t>We are a New Zealand based contemporary Order following Jesus on the margins.</w:t>
            </w:r>
          </w:p>
        </w:tc>
      </w:tr>
      <w:tr>
        <w:tblPrEx>
          <w:tblW w:w="5000" w:type="pct"/>
          <w:tblCellMar>
            <w:top w:w="15" w:type="dxa"/>
            <w:left w:w="15" w:type="dxa"/>
            <w:bottom w:w="15" w:type="dxa"/>
            <w:right w:w="15" w:type="dxa"/>
          </w:tblCellMar>
          <w:tblLook w:val="05E0"/>
        </w:tblPrEx>
        <w:tc>
          <w:tcPr>
            <w:tcW w:w="5185" w:type="dxa"/>
            <w:tcMar>
              <w:top w:w="150" w:type="dxa"/>
              <w:left w:w="155" w:type="dxa"/>
              <w:bottom w:w="150" w:type="dxa"/>
              <w:right w:w="155" w:type="dxa"/>
            </w:tcMar>
            <w:vAlign w:val="center"/>
            <w:hideMark/>
          </w:tcPr>
          <w:p>
            <w:r>
              <w:rPr>
                <w:strike w:val="0"/>
                <w:color w:val="0000EE"/>
                <w:u w:val="none" w:color="0000EE"/>
              </w:rPr>
              <w:drawing>
                <wp:inline>
                  <wp:extent cx="2857500" cy="1185559"/>
                  <wp:docPr id="100011" name="" descr="Waiters Union">
                    <a:hlinkClick xmlns:a="http://schemas.openxmlformats.org/drawingml/2006/main" xmlns:r="http://schemas.openxmlformats.org/officeDocument/2006/relationships" r:id="rId1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5"/>
                          <a:stretch>
                            <a:fillRect/>
                          </a:stretch>
                        </pic:blipFill>
                        <pic:spPr>
                          <a:xfrm>
                            <a:off x="0" y="0"/>
                            <a:ext cx="2857500" cy="1185559"/>
                          </a:xfrm>
                          <a:prstGeom prst="rect">
                            <a:avLst/>
                          </a:prstGeom>
                        </pic:spPr>
                      </pic:pic>
                    </a:graphicData>
                  </a:graphic>
                </wp:inline>
              </w:drawing>
            </w:r>
          </w:p>
        </w:tc>
        <w:tc>
          <w:tcPr>
            <w:tcMar>
              <w:top w:w="150" w:type="dxa"/>
              <w:left w:w="155" w:type="dxa"/>
              <w:bottom w:w="150" w:type="dxa"/>
              <w:right w:w="155" w:type="dxa"/>
            </w:tcMar>
            <w:vAlign w:val="center"/>
            <w:hideMark/>
          </w:tcPr>
          <w:p>
            <w:r>
              <w:t>The Waiters Union is a network of residents in West End, Brisbane, Australia, who are committed to developing a sense of community in the locality with our neighbours, including those who are marginalised, in the radical tradition of Jesus of Nazareth.</w:t>
            </w:r>
          </w:p>
        </w:tc>
      </w:tr>
    </w:tbl>
    <w:p>
      <w:r>
        <w:t xml:space="preserve">  </w:t>
      </w:r>
    </w:p>
    <w:tbl>
      <w:tblPr>
        <w:tblStyle w:val="table"/>
        <w:tblW w:w="5000" w:type="pct"/>
        <w:tblCellMar>
          <w:top w:w="15" w:type="dxa"/>
          <w:left w:w="15" w:type="dxa"/>
          <w:bottom w:w="15" w:type="dxa"/>
          <w:right w:w="15" w:type="dxa"/>
        </w:tblCellMar>
        <w:tblLook w:val="05E0"/>
      </w:tblPr>
      <w:tblGrid>
        <w:gridCol w:w="5495"/>
        <w:gridCol w:w="3865"/>
      </w:tblGrid>
      <w:tr>
        <w:tblPrEx>
          <w:tblW w:w="5000" w:type="pct"/>
          <w:tblCellMar>
            <w:top w:w="15" w:type="dxa"/>
            <w:left w:w="15" w:type="dxa"/>
            <w:bottom w:w="15" w:type="dxa"/>
            <w:right w:w="15" w:type="dxa"/>
          </w:tblCellMar>
          <w:tblLook w:val="05E0"/>
        </w:tblPrEx>
        <w:tc>
          <w:tcPr>
            <w:tcW w:w="4875" w:type="dxa"/>
            <w:gridSpan w:val="2"/>
            <w:tcBorders>
              <w:top w:val="none" w:sz="0" w:space="0" w:color="auto"/>
              <w:left w:val="none" w:sz="0" w:space="0" w:color="auto"/>
              <w:bottom w:val="none" w:sz="0" w:space="0" w:color="auto"/>
              <w:right w:val="none" w:sz="0" w:space="0" w:color="auto"/>
            </w:tcBorders>
            <w:tcMar>
              <w:left w:w="108" w:type="dxa"/>
              <w:right w:w="108" w:type="dxa"/>
            </w:tcMar>
            <w:vAlign w:val="center"/>
            <w:hideMark/>
          </w:tcPr>
          <w:p>
            <w:pPr>
              <w:pStyle w:val="Heading4"/>
              <w:keepNext w:val="0"/>
              <w:keepLines w:val="0"/>
              <w:spacing w:before="0" w:after="0"/>
              <w:ind w:left="0" w:right="0"/>
              <w:jc w:val="center"/>
              <w:rPr>
                <w:b/>
                <w:bCs/>
              </w:rPr>
            </w:pPr>
            <w:r>
              <w:rPr>
                <w:rFonts w:ascii="Times New Roman" w:eastAsia="Times New Roman" w:hAnsi="Times New Roman" w:cs="Times New Roman"/>
                <w:i w:val="0"/>
                <w:iCs w:val="0"/>
                <w:color w:val="auto"/>
              </w:rPr>
              <w:t>Internship Opportunities:</w:t>
            </w:r>
          </w:p>
        </w:tc>
      </w:tr>
      <w:tr>
        <w:tblPrEx>
          <w:tblW w:w="5000" w:type="pct"/>
          <w:tblCellMar>
            <w:top w:w="15" w:type="dxa"/>
            <w:left w:w="15" w:type="dxa"/>
            <w:bottom w:w="15" w:type="dxa"/>
            <w:right w:w="15" w:type="dxa"/>
          </w:tblCellMar>
          <w:tblLook w:val="05E0"/>
        </w:tblPrEx>
        <w:tc>
          <w:tcPr>
            <w:tcW w:w="5185" w:type="dxa"/>
            <w:tcMar>
              <w:top w:w="150" w:type="dxa"/>
              <w:left w:w="155" w:type="dxa"/>
              <w:bottom w:w="150" w:type="dxa"/>
              <w:right w:w="155" w:type="dxa"/>
            </w:tcMar>
            <w:vAlign w:val="center"/>
            <w:hideMark/>
          </w:tcPr>
          <w:p>
            <w:r>
              <w:rPr>
                <w:strike w:val="0"/>
                <w:color w:val="0000EE"/>
                <w:u w:val="none" w:color="0000EE"/>
              </w:rPr>
              <w:drawing>
                <wp:inline>
                  <wp:extent cx="2857500" cy="2857500"/>
                  <wp:docPr id="100013" name="" descr="Global Urban Trek">
                    <a:hlinkClick xmlns:a="http://schemas.openxmlformats.org/drawingml/2006/main" xmlns:r="http://schemas.openxmlformats.org/officeDocument/2006/relationships" r:id="rId1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7"/>
                          <a:stretch>
                            <a:fillRect/>
                          </a:stretch>
                        </pic:blipFill>
                        <pic:spPr>
                          <a:xfrm>
                            <a:off x="0" y="0"/>
                            <a:ext cx="2857500" cy="2857500"/>
                          </a:xfrm>
                          <a:prstGeom prst="rect">
                            <a:avLst/>
                          </a:prstGeom>
                        </pic:spPr>
                      </pic:pic>
                    </a:graphicData>
                  </a:graphic>
                </wp:inline>
              </w:drawing>
            </w:r>
          </w:p>
        </w:tc>
        <w:tc>
          <w:tcPr>
            <w:tcMar>
              <w:top w:w="150" w:type="dxa"/>
              <w:left w:w="155" w:type="dxa"/>
              <w:bottom w:w="150" w:type="dxa"/>
              <w:right w:w="155" w:type="dxa"/>
            </w:tcMar>
            <w:vAlign w:val="center"/>
            <w:hideMark/>
          </w:tcPr>
          <w:p>
            <w:r>
              <w:t>The Global Urban Trek is part of InterVarsity Christian Fellowship's summer Global Projects. It is a 7 week trip designed to immerse college students in urban slums around the world, align their heart with God's, and help them discern if Jesus is calling them to this context in the future.</w:t>
            </w:r>
          </w:p>
        </w:tc>
      </w:tr>
    </w:tbl>
    <w:p>
      <w:r>
        <w:t xml:space="preserve">  </w:t>
      </w:r>
    </w:p>
    <w:tbl>
      <w:tblPr>
        <w:tblStyle w:val="table"/>
        <w:tblW w:w="5000" w:type="pct"/>
        <w:tblCellMar>
          <w:top w:w="15" w:type="dxa"/>
          <w:left w:w="15" w:type="dxa"/>
          <w:bottom w:w="15" w:type="dxa"/>
          <w:right w:w="15" w:type="dxa"/>
        </w:tblCellMar>
        <w:tblLook w:val="05E0"/>
      </w:tblPr>
      <w:tblGrid>
        <w:gridCol w:w="5495"/>
        <w:gridCol w:w="3865"/>
      </w:tblGrid>
      <w:tr>
        <w:tblPrEx>
          <w:tblW w:w="5000" w:type="pct"/>
          <w:tblCellMar>
            <w:top w:w="15" w:type="dxa"/>
            <w:left w:w="15" w:type="dxa"/>
            <w:bottom w:w="15" w:type="dxa"/>
            <w:right w:w="15" w:type="dxa"/>
          </w:tblCellMar>
          <w:tblLook w:val="05E0"/>
        </w:tblPrEx>
        <w:tc>
          <w:tcPr>
            <w:tcW w:w="4875" w:type="dxa"/>
            <w:gridSpan w:val="2"/>
            <w:tcBorders>
              <w:top w:val="none" w:sz="0" w:space="0" w:color="auto"/>
              <w:left w:val="none" w:sz="0" w:space="0" w:color="auto"/>
              <w:bottom w:val="none" w:sz="0" w:space="0" w:color="auto"/>
              <w:right w:val="none" w:sz="0" w:space="0" w:color="auto"/>
            </w:tcBorders>
            <w:tcMar>
              <w:left w:w="108" w:type="dxa"/>
              <w:right w:w="108" w:type="dxa"/>
            </w:tcMar>
            <w:vAlign w:val="center"/>
            <w:hideMark/>
          </w:tcPr>
          <w:p>
            <w:pPr>
              <w:pStyle w:val="Heading4"/>
              <w:keepNext w:val="0"/>
              <w:keepLines w:val="0"/>
              <w:spacing w:before="0" w:after="0"/>
              <w:ind w:left="0" w:right="0"/>
              <w:jc w:val="center"/>
              <w:rPr>
                <w:b/>
                <w:bCs/>
              </w:rPr>
            </w:pPr>
            <w:r>
              <w:rPr>
                <w:rFonts w:ascii="Times New Roman" w:eastAsia="Times New Roman" w:hAnsi="Times New Roman" w:cs="Times New Roman"/>
                <w:i w:val="0"/>
                <w:iCs w:val="0"/>
                <w:color w:val="auto"/>
              </w:rPr>
              <w:t>Ministries in the slums:</w:t>
            </w:r>
          </w:p>
        </w:tc>
      </w:tr>
      <w:tr>
        <w:tblPrEx>
          <w:tblW w:w="5000" w:type="pct"/>
          <w:tblCellMar>
            <w:top w:w="15" w:type="dxa"/>
            <w:left w:w="15" w:type="dxa"/>
            <w:bottom w:w="15" w:type="dxa"/>
            <w:right w:w="15" w:type="dxa"/>
          </w:tblCellMar>
          <w:tblLook w:val="05E0"/>
        </w:tblPrEx>
        <w:tc>
          <w:tcPr>
            <w:tcW w:w="5185" w:type="dxa"/>
            <w:tcMar>
              <w:top w:w="150" w:type="dxa"/>
              <w:left w:w="155" w:type="dxa"/>
              <w:bottom w:w="150" w:type="dxa"/>
              <w:right w:w="155" w:type="dxa"/>
            </w:tcMar>
            <w:vAlign w:val="center"/>
            <w:hideMark/>
          </w:tcPr>
          <w:p>
            <w:r>
              <w:rPr>
                <w:strike w:val="0"/>
                <w:color w:val="0000EE"/>
                <w:u w:val="none" w:color="0000EE"/>
              </w:rPr>
              <w:drawing>
                <wp:inline>
                  <wp:extent cx="2857500" cy="1085850"/>
                  <wp:docPr id="100015" name="" descr="Alongsiders">
                    <a:hlinkClick xmlns:a="http://schemas.openxmlformats.org/drawingml/2006/main" xmlns:r="http://schemas.openxmlformats.org/officeDocument/2006/relationships" r:id="rId1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9"/>
                          <a:stretch>
                            <a:fillRect/>
                          </a:stretch>
                        </pic:blipFill>
                        <pic:spPr>
                          <a:xfrm>
                            <a:off x="0" y="0"/>
                            <a:ext cx="2857500" cy="1085850"/>
                          </a:xfrm>
                          <a:prstGeom prst="rect">
                            <a:avLst/>
                          </a:prstGeom>
                        </pic:spPr>
                      </pic:pic>
                    </a:graphicData>
                  </a:graphic>
                </wp:inline>
              </w:drawing>
            </w:r>
          </w:p>
        </w:tc>
        <w:tc>
          <w:tcPr>
            <w:tcMar>
              <w:top w:w="150" w:type="dxa"/>
              <w:left w:w="155" w:type="dxa"/>
              <w:bottom w:w="150" w:type="dxa"/>
              <w:right w:w="155" w:type="dxa"/>
            </w:tcMar>
            <w:vAlign w:val="center"/>
            <w:hideMark/>
          </w:tcPr>
          <w:p>
            <w:r>
              <w:t>We equip compassionate young Christians in poor nations to walk alongside those who walk alone: to love, welcome and encourage the most vulnerable children and orphans, in their own communities.</w:t>
            </w:r>
          </w:p>
        </w:tc>
      </w:tr>
    </w:tbl>
    <w:p>
      <w:r>
        <w:t xml:space="preserve">  </w:t>
      </w:r>
    </w:p>
    <w:tbl>
      <w:tblPr>
        <w:tblStyle w:val="table"/>
        <w:tblW w:w="5000" w:type="pct"/>
        <w:tblCellMar>
          <w:top w:w="15" w:type="dxa"/>
          <w:left w:w="15" w:type="dxa"/>
          <w:bottom w:w="15" w:type="dxa"/>
          <w:right w:w="15" w:type="dxa"/>
        </w:tblCellMar>
        <w:tblLook w:val="05E0"/>
      </w:tblPr>
      <w:tblGrid>
        <w:gridCol w:w="9360"/>
      </w:tblGrid>
      <w:tr>
        <w:tblPrEx>
          <w:tblW w:w="5000" w:type="pct"/>
          <w:tblCellMar>
            <w:top w:w="15" w:type="dxa"/>
            <w:left w:w="15" w:type="dxa"/>
            <w:bottom w:w="15" w:type="dxa"/>
            <w:right w:w="15" w:type="dxa"/>
          </w:tblCellMar>
          <w:tblLook w:val="05E0"/>
        </w:tblPrEx>
        <w:tc>
          <w:tcPr>
            <w:tcBorders>
              <w:top w:val="none" w:sz="0" w:space="0" w:color="auto"/>
              <w:left w:val="none" w:sz="0" w:space="0" w:color="auto"/>
              <w:bottom w:val="none" w:sz="0" w:space="0" w:color="auto"/>
              <w:right w:val="none" w:sz="0" w:space="0" w:color="auto"/>
            </w:tcBorders>
            <w:tcMar>
              <w:left w:w="108" w:type="dxa"/>
              <w:right w:w="108" w:type="dxa"/>
            </w:tcMar>
            <w:vAlign w:val="center"/>
            <w:hideMark/>
          </w:tcPr>
          <w:p>
            <w:pPr>
              <w:pStyle w:val="Heading4"/>
              <w:keepNext w:val="0"/>
              <w:keepLines w:val="0"/>
              <w:spacing w:before="0" w:after="0"/>
              <w:ind w:left="0" w:right="0"/>
              <w:jc w:val="center"/>
              <w:rPr>
                <w:b/>
                <w:bCs/>
              </w:rPr>
            </w:pPr>
            <w:r>
              <w:rPr>
                <w:rFonts w:ascii="Times New Roman" w:eastAsia="Times New Roman" w:hAnsi="Times New Roman" w:cs="Times New Roman"/>
                <w:i w:val="0"/>
                <w:iCs w:val="0"/>
                <w:color w:val="auto"/>
              </w:rPr>
              <w:t>Development Strategies:</w:t>
            </w:r>
          </w:p>
        </w:tc>
      </w:tr>
      <w:tr>
        <w:tblPrEx>
          <w:tblW w:w="5000" w:type="pct"/>
          <w:tblCellMar>
            <w:top w:w="15" w:type="dxa"/>
            <w:left w:w="15" w:type="dxa"/>
            <w:bottom w:w="15" w:type="dxa"/>
            <w:right w:w="15" w:type="dxa"/>
          </w:tblCellMar>
          <w:tblLook w:val="05E0"/>
        </w:tblPrEx>
        <w:tc>
          <w:tcPr>
            <w:tcMar>
              <w:top w:w="150" w:type="dxa"/>
              <w:left w:w="155" w:type="dxa"/>
              <w:bottom w:w="150" w:type="dxa"/>
              <w:right w:w="155" w:type="dxa"/>
            </w:tcMar>
            <w:vAlign w:val="center"/>
            <w:hideMark/>
          </w:tcPr>
          <w:p>
            <w:hyperlink r:id="rId20" w:tgtFrame="_blank" w:history="1">
              <w:r>
                <w:rPr>
                  <w:color w:val="0000EE"/>
                  <w:u w:val="single" w:color="0000EE"/>
                </w:rPr>
                <w:t>The AVM (Alliance for Vulnerable Mission)</w:t>
              </w:r>
            </w:hyperlink>
            <w:r>
              <w:t xml:space="preserve"> seeks to encourage wider use of mission and development strategies that depend on locally available resources and local languages. These strategies are “vulnerable” in the sense that they do not have fringe benefits built into them, deliberately or otherwise. They will therefore fail unless or until there is strong local confidence in their spiritual or developmental value.</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Style w:val="table"/>
        <w:tblW w:w="5000" w:type="pct"/>
        <w:tblCellMar>
          <w:top w:w="15" w:type="dxa"/>
          <w:left w:w="15" w:type="dxa"/>
          <w:bottom w:w="15" w:type="dxa"/>
          <w:right w:w="15" w:type="dxa"/>
        </w:tblCellMar>
        <w:tblLook w:val="05E0"/>
      </w:tblPr>
      <w:tblGrid>
        <w:gridCol w:w="3630"/>
        <w:gridCol w:w="5730"/>
      </w:tblGrid>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zn_meta_elements</w:t>
            </w:r>
          </w:p>
        </w:tc>
        <w:tc>
          <w:tcPr>
            <w:tcMar>
              <w:top w:w="150" w:type="dxa"/>
              <w:left w:w="155" w:type="dxa"/>
              <w:bottom w:w="150" w:type="dxa"/>
              <w:right w:w="155" w:type="dxa"/>
            </w:tcMar>
            <w:vAlign w:val="center"/>
            <w:hideMark/>
          </w:tcPr>
          <w:p>
            <w:r>
              <w:t>Array</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zn_page_title_show</w:t>
            </w:r>
          </w:p>
        </w:tc>
        <w:tc>
          <w:tcPr>
            <w:tcMar>
              <w:top w:w="150" w:type="dxa"/>
              <w:left w:w="155" w:type="dxa"/>
              <w:bottom w:w="150" w:type="dxa"/>
              <w:right w:w="155" w:type="dxa"/>
            </w:tcMar>
            <w:vAlign w:val="center"/>
            <w:hideMark/>
          </w:tcPr>
          <w:p>
            <w:r>
              <w:t>yes</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zn_page_title</w:t>
            </w:r>
          </w:p>
        </w:tc>
        <w:tc>
          <w:tcPr>
            <w:tcMar>
              <w:top w:w="150" w:type="dxa"/>
              <w:left w:w="155" w:type="dxa"/>
              <w:bottom w:w="150" w:type="dxa"/>
              <w:right w:w="155" w:type="dxa"/>
            </w:tcMar>
            <w:vAlign w:val="center"/>
            <w:hideMark/>
          </w:tcP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zn_page_subtitle</w:t>
            </w:r>
          </w:p>
        </w:tc>
        <w:tc>
          <w:tcPr>
            <w:tcMar>
              <w:top w:w="150" w:type="dxa"/>
              <w:left w:w="155" w:type="dxa"/>
              <w:bottom w:w="150" w:type="dxa"/>
              <w:right w:w="155" w:type="dxa"/>
            </w:tcMar>
            <w:vAlign w:val="center"/>
            <w:hideMark/>
          </w:tcP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zn_zn_disable_subheader</w:t>
            </w:r>
          </w:p>
        </w:tc>
        <w:tc>
          <w:tcPr>
            <w:tcMar>
              <w:top w:w="150" w:type="dxa"/>
              <w:left w:w="155" w:type="dxa"/>
              <w:bottom w:w="150" w:type="dxa"/>
              <w:right w:w="155" w:type="dxa"/>
            </w:tcMar>
            <w:vAlign w:val="center"/>
            <w:hideMark/>
          </w:tcPr>
          <w:p>
            <w:r>
              <w:t>no</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zn_page_layout</w:t>
            </w:r>
          </w:p>
        </w:tc>
        <w:tc>
          <w:tcPr>
            <w:tcMar>
              <w:top w:w="150" w:type="dxa"/>
              <w:left w:w="155" w:type="dxa"/>
              <w:bottom w:w="150" w:type="dxa"/>
              <w:right w:w="155" w:type="dxa"/>
            </w:tcMar>
            <w:vAlign w:val="center"/>
            <w:hideMark/>
          </w:tcPr>
          <w:p>
            <w:r>
              <w:t>default</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zn_sidebar_select</w:t>
            </w:r>
          </w:p>
        </w:tc>
        <w:tc>
          <w:tcPr>
            <w:tcMar>
              <w:top w:w="150" w:type="dxa"/>
              <w:left w:w="155" w:type="dxa"/>
              <w:bottom w:w="150" w:type="dxa"/>
              <w:right w:w="155" w:type="dxa"/>
            </w:tcMar>
            <w:vAlign w:val="center"/>
            <w:hideMark/>
          </w:tcPr>
          <w:p>
            <w:r>
              <w:t>default</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zn_page_builder_layout</w:t>
            </w:r>
          </w:p>
        </w:tc>
        <w:tc>
          <w:tcPr>
            <w:tcMar>
              <w:top w:w="150" w:type="dxa"/>
              <w:left w:w="155" w:type="dxa"/>
              <w:bottom w:w="150" w:type="dxa"/>
              <w:right w:w="155" w:type="dxa"/>
            </w:tcMar>
            <w:vAlign w:val="center"/>
            <w:hideMark/>
          </w:tcPr>
          <w:p>
            <w:r>
              <w:t>default</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zn_subheader_style</w:t>
            </w:r>
          </w:p>
        </w:tc>
        <w:tc>
          <w:tcPr>
            <w:tcMar>
              <w:top w:w="150" w:type="dxa"/>
              <w:left w:w="155" w:type="dxa"/>
              <w:bottom w:w="150" w:type="dxa"/>
              <w:right w:w="155" w:type="dxa"/>
            </w:tcMar>
            <w:vAlign w:val="center"/>
            <w:hideMark/>
          </w:tcPr>
          <w:p>
            <w:r>
              <w:t>zn_def_header_style</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zn_page_override_boxed_layout</w:t>
            </w:r>
          </w:p>
        </w:tc>
        <w:tc>
          <w:tcPr>
            <w:tcMar>
              <w:top w:w="150" w:type="dxa"/>
              <w:left w:w="155" w:type="dxa"/>
              <w:bottom w:w="150" w:type="dxa"/>
              <w:right w:w="155" w:type="dxa"/>
            </w:tcMar>
            <w:vAlign w:val="center"/>
            <w:hideMark/>
          </w:tcPr>
          <w:p>
            <w:r>
              <w:t>def</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zn-custom-layout</w:t>
            </w:r>
          </w:p>
        </w:tc>
        <w:tc>
          <w:tcPr>
            <w:tcMar>
              <w:top w:w="150" w:type="dxa"/>
              <w:left w:w="155" w:type="dxa"/>
              <w:bottom w:w="150" w:type="dxa"/>
              <w:right w:w="155" w:type="dxa"/>
            </w:tcMar>
            <w:vAlign w:val="center"/>
            <w:hideMark/>
          </w:tcPr>
          <w:p>
            <w:r>
              <w:t>0</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zn_page_builder_status</w:t>
            </w:r>
          </w:p>
        </w:tc>
        <w:tc>
          <w:tcPr>
            <w:tcMar>
              <w:top w:w="150" w:type="dxa"/>
              <w:left w:w="155" w:type="dxa"/>
              <w:bottom w:w="150" w:type="dxa"/>
              <w:right w:w="155" w:type="dxa"/>
            </w:tcMar>
            <w:vAlign w:val="center"/>
            <w:hideMark/>
          </w:tcPr>
          <w:p>
            <w:r>
              <w:t>enabled</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zn_page_builder_els</w:t>
            </w:r>
          </w:p>
        </w:tc>
        <w:tc>
          <w:tcPr>
            <w:tcMar>
              <w:top w:w="150" w:type="dxa"/>
              <w:left w:w="155" w:type="dxa"/>
              <w:bottom w:w="150" w:type="dxa"/>
              <w:right w:w="155" w:type="dxa"/>
            </w:tcMar>
            <w:vAlign w:val="center"/>
            <w:hideMark/>
          </w:tcPr>
          <w:p>
            <w:r>
              <w:t>Array</w:t>
            </w: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show_header</w:t>
            </w:r>
          </w:p>
        </w:tc>
        <w:tc>
          <w:tcPr>
            <w:tcMar>
              <w:top w:w="150" w:type="dxa"/>
              <w:left w:w="155" w:type="dxa"/>
              <w:bottom w:w="150" w:type="dxa"/>
              <w:right w:w="155" w:type="dxa"/>
            </w:tcMar>
            <w:vAlign w:val="center"/>
            <w:hideMark/>
          </w:tcP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show_footer</w:t>
            </w:r>
          </w:p>
        </w:tc>
        <w:tc>
          <w:tcPr>
            <w:tcMar>
              <w:top w:w="150" w:type="dxa"/>
              <w:left w:w="155" w:type="dxa"/>
              <w:bottom w:w="150" w:type="dxa"/>
              <w:right w:w="155" w:type="dxa"/>
            </w:tcMar>
            <w:vAlign w:val="center"/>
            <w:hideMark/>
          </w:tcP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zn_page_custom_css</w:t>
            </w:r>
          </w:p>
        </w:tc>
        <w:tc>
          <w:tcPr>
            <w:tcMar>
              <w:top w:w="150" w:type="dxa"/>
              <w:left w:w="155" w:type="dxa"/>
              <w:bottom w:w="150" w:type="dxa"/>
              <w:right w:w="155" w:type="dxa"/>
            </w:tcMar>
            <w:vAlign w:val="center"/>
            <w:hideMark/>
          </w:tcPr>
          <w:p/>
        </w:tc>
      </w:tr>
      <w:tr>
        <w:tblPrEx>
          <w:tblW w:w="5000" w:type="pct"/>
          <w:tblCellMar>
            <w:top w:w="15" w:type="dxa"/>
            <w:left w:w="15" w:type="dxa"/>
            <w:bottom w:w="15" w:type="dxa"/>
            <w:right w:w="15" w:type="dxa"/>
          </w:tblCellMar>
          <w:tblLook w:val="05E0"/>
        </w:tblPrEx>
        <w:tc>
          <w:tcPr>
            <w:tcW w:w="1650" w:type="pct"/>
            <w:tcMar>
              <w:top w:w="150" w:type="dxa"/>
              <w:left w:w="155" w:type="dxa"/>
              <w:bottom w:w="150" w:type="dxa"/>
              <w:right w:w="155" w:type="dxa"/>
            </w:tcMar>
            <w:vAlign w:val="center"/>
            <w:hideMark/>
          </w:tcPr>
          <w:p>
            <w:r>
              <w:rPr>
                <w:b/>
                <w:bCs/>
              </w:rPr>
              <w:t>zn_page_custom_js</w:t>
            </w:r>
          </w:p>
        </w:tc>
        <w:tc>
          <w:tcPr>
            <w:tcMar>
              <w:top w:w="150" w:type="dxa"/>
              <w:left w:w="155" w:type="dxa"/>
              <w:bottom w:w="150" w:type="dxa"/>
              <w:right w:w="15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jc w:val="center"/>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table" w:customStyle="1" w:styleId="table">
    <w:name w:val="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ordmadeflesh.org" TargetMode="External" /><Relationship Id="rId11" Type="http://schemas.openxmlformats.org/officeDocument/2006/relationships/image" Target="media/image4.png" /><Relationship Id="rId12" Type="http://schemas.openxmlformats.org/officeDocument/2006/relationships/hyperlink" Target="http://www.urbanvision.org.nz" TargetMode="External" /><Relationship Id="rId13" Type="http://schemas.openxmlformats.org/officeDocument/2006/relationships/image" Target="media/image5.png" /><Relationship Id="rId14" Type="http://schemas.openxmlformats.org/officeDocument/2006/relationships/hyperlink" Target="http://www.waitersunion.org" TargetMode="External" /><Relationship Id="rId15" Type="http://schemas.openxmlformats.org/officeDocument/2006/relationships/image" Target="media/image6.png" /><Relationship Id="rId16" Type="http://schemas.openxmlformats.org/officeDocument/2006/relationships/hyperlink" Target="http://globalurbantrek.intervarsity.org" TargetMode="External" /><Relationship Id="rId17" Type="http://schemas.openxmlformats.org/officeDocument/2006/relationships/image" Target="media/image7.png" /><Relationship Id="rId18" Type="http://schemas.openxmlformats.org/officeDocument/2006/relationships/hyperlink" Target="http://alongsiders.org/#welcome" TargetMode="Externa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hyperlink" Target="http://www.vulnerablemission.org/"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yperlink" Target="http://www.innerchange.org" TargetMode="External" /><Relationship Id="rId5" Type="http://schemas.openxmlformats.org/officeDocument/2006/relationships/image" Target="media/image1.png" /><Relationship Id="rId6" Type="http://schemas.openxmlformats.org/officeDocument/2006/relationships/hyperlink" Target="http://www.servantpartners.org" TargetMode="External" /><Relationship Id="rId7" Type="http://schemas.openxmlformats.org/officeDocument/2006/relationships/image" Target="media/image2.png" /><Relationship Id="rId8" Type="http://schemas.openxmlformats.org/officeDocument/2006/relationships/hyperlink" Target="http://unoh.org" TargetMode="External" /><Relationship Id="rId9"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Collaborating for the Kingdom</dc:title>
  <cp:revision>0</cp:revision>
</cp:coreProperties>
</file>